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352" w:rsidRPr="00634352" w:rsidRDefault="00634352" w:rsidP="00634352">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634352">
        <w:rPr>
          <w:rFonts w:ascii="Arial" w:eastAsia="Times New Roman" w:hAnsi="Arial" w:cs="Arial"/>
          <w:b/>
          <w:bCs/>
          <w:color w:val="0A0B0C"/>
          <w:kern w:val="36"/>
          <w:sz w:val="48"/>
          <w:szCs w:val="48"/>
          <w:lang w:eastAsia="ru-RU"/>
        </w:rPr>
        <w:t>ВСТРЕЧНЫЙ ИСК, связанный с ничтожностью доверенности, выданной председателем ТСЖ</w:t>
      </w:r>
    </w:p>
    <w:p w:rsidR="00634352" w:rsidRPr="00634352" w:rsidRDefault="001668B2" w:rsidP="00634352">
      <w:pPr>
        <w:spacing w:after="0" w:line="240" w:lineRule="auto"/>
        <w:rPr>
          <w:rFonts w:ascii="Arial" w:eastAsia="Times New Roman" w:hAnsi="Arial" w:cs="Arial"/>
          <w:color w:val="0A0B0C"/>
          <w:sz w:val="20"/>
          <w:szCs w:val="20"/>
          <w:lang w:eastAsia="ru-RU"/>
        </w:rPr>
      </w:pPr>
      <w:hyperlink r:id="rId5" w:history="1">
        <w:proofErr w:type="spellStart"/>
        <w:r w:rsidR="00634352" w:rsidRPr="00634352">
          <w:rPr>
            <w:rFonts w:ascii="Arial" w:eastAsia="Times New Roman" w:hAnsi="Arial" w:cs="Arial"/>
            <w:color w:val="1868B2"/>
            <w:sz w:val="20"/>
            <w:szCs w:val="20"/>
            <w:u w:val="single"/>
            <w:lang w:eastAsia="ru-RU"/>
          </w:rPr>
          <w:t>вадим</w:t>
        </w:r>
        <w:proofErr w:type="spellEnd"/>
        <w:r w:rsidR="00634352" w:rsidRPr="00634352">
          <w:rPr>
            <w:rFonts w:ascii="Arial" w:eastAsia="Times New Roman" w:hAnsi="Arial" w:cs="Arial"/>
            <w:color w:val="1868B2"/>
            <w:sz w:val="20"/>
            <w:szCs w:val="20"/>
            <w:u w:val="single"/>
            <w:lang w:eastAsia="ru-RU"/>
          </w:rPr>
          <w:t xml:space="preserve"> постников</w:t>
        </w:r>
      </w:hyperlink>
      <w:r w:rsidR="00634352" w:rsidRPr="00634352">
        <w:rPr>
          <w:rFonts w:ascii="Arial" w:eastAsia="Times New Roman" w:hAnsi="Arial" w:cs="Arial"/>
          <w:color w:val="0A0B0C"/>
          <w:sz w:val="20"/>
          <w:szCs w:val="20"/>
          <w:lang w:eastAsia="ru-RU"/>
        </w:rPr>
        <w:t xml:space="preserve"> написал вчера в 07:03 </w:t>
      </w:r>
      <w:r w:rsidR="00634352" w:rsidRPr="00634352">
        <w:rPr>
          <w:rFonts w:ascii="Arial" w:eastAsia="Times New Roman" w:hAnsi="Arial" w:cs="Arial"/>
          <w:color w:val="0A0B0C"/>
          <w:sz w:val="20"/>
          <w:szCs w:val="20"/>
          <w:lang w:eastAsia="ru-RU"/>
        </w:rPr>
        <w:br/>
        <w:t xml:space="preserve">2 оценок, 241 просмотр </w:t>
      </w:r>
      <w:hyperlink r:id="rId6" w:history="1">
        <w:r w:rsidR="00634352" w:rsidRPr="00634352">
          <w:rPr>
            <w:rFonts w:ascii="Arial" w:eastAsia="Times New Roman" w:hAnsi="Arial" w:cs="Arial"/>
            <w:color w:val="1868B2"/>
            <w:sz w:val="20"/>
            <w:szCs w:val="20"/>
            <w:u w:val="single"/>
            <w:lang w:eastAsia="ru-RU"/>
          </w:rPr>
          <w:t>Обсудить (29)</w:t>
        </w:r>
      </w:hyperlink>
      <w:r w:rsidR="00634352" w:rsidRPr="00634352">
        <w:rPr>
          <w:rFonts w:ascii="Arial" w:eastAsia="Times New Roman" w:hAnsi="Arial" w:cs="Arial"/>
          <w:color w:val="0A0B0C"/>
          <w:sz w:val="20"/>
          <w:szCs w:val="20"/>
          <w:lang w:eastAsia="ru-RU"/>
        </w:rPr>
        <w:t xml:space="preserve">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Выставляю для критики или одобрения сконструированный только что Встречный иск, как мне представляется, прорывного действия</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В … суд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Федеральному судье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Истец (ответчик по первоначальному иску)</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Ответчик (истец по первоначальному иску)</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xml:space="preserve">ТСЖ "Привольное"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xml:space="preserve">ВСТРЕЧНОЕ ИСКОВОЕ ЗАЯВЛЕНИЕ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В производстве суда находится гражданское дело, возбужденное по исковому заявлению ответчика, подписанному его представителем по доверенности.</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В порядке ст. 137 ГПК РФ обращаюсь в суд со Встречным исковым заявлением. Оно направлено на доказательство отсутствия права представителя ТСЖ на подписание искового заявления и на его подачу в суд. Это значит: между встречным и первоначальным исками имеется взаимная связь и их совместное рассмотрение приведет к более быстрому и правильному рассмотрению споров.</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br/>
        <w:t>Настоящее исковое заявление построено на указание на ничтожность сделки в виде выдачи доверенности и на применение последствий признания недействительности ничтожной сделки в соответствии с положениями Подраздела 4 ГК РФ "Сделки. Решения собраний. Представительство", абзаца 3 ст. 12 ГК РФ, ст. 148 -149 ЖК РФ, ст.48 ГПК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В обоснование исковых требований приводим следующие доводы</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xml:space="preserve">1. Доверенность выдана от лица, у которого отсутствует права на предъявление иска и на подписание исковых заявлений.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xml:space="preserve">Законодательством  (ст. 149 ЖК РФ) не предусмотрено права председателю правления на подписание искового заявления, предъявление его в суд, а потому он не вправе передать другому лицу полномочий, </w:t>
      </w:r>
      <w:proofErr w:type="spellStart"/>
      <w:r w:rsidRPr="00634352">
        <w:rPr>
          <w:rFonts w:ascii="Arial" w:eastAsia="Times New Roman" w:hAnsi="Arial" w:cs="Arial"/>
          <w:color w:val="0A0B0C"/>
          <w:sz w:val="20"/>
          <w:szCs w:val="20"/>
          <w:lang w:eastAsia="ru-RU"/>
        </w:rPr>
        <w:t>которы</w:t>
      </w:r>
      <w:proofErr w:type="spellEnd"/>
      <w:r w:rsidRPr="00634352">
        <w:rPr>
          <w:rFonts w:ascii="Arial" w:eastAsia="Times New Roman" w:hAnsi="Arial" w:cs="Arial"/>
          <w:color w:val="0A0B0C"/>
          <w:sz w:val="20"/>
          <w:szCs w:val="20"/>
          <w:lang w:eastAsia="ru-RU"/>
        </w:rPr>
        <w:t xml:space="preserve"> полномочий другому лицу</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Согласно ст. 149 ЖК РФ  председателю не дано право принимать собственные решения относительно деятельности товарищества за пределами круга подчиненных ему должностных лиц, не дано права на заключение сделок за пределами хозяйственных нужд без предварительного решения органов управления (правления товарищества или общего собрания членов ТСЖ).</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lastRenderedPageBreak/>
        <w:t>В отличие от некоммерческих организаций, деятельность которых регулируется специальным законом (7-ФЗ), для товариществ собственников жилья установлены иные правила: здесь нет единоличного руководства, по закону “руководство деятельностью товарищества собственников жилья осуществляется Правлением товарищества” (ч.1 ст. 147 ЖК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“Правление товарищества собственников жилья является исполнительным органом товарищества, подотчетным Общему собранию членов товарищества” (ч.4 ст. 137 ЖК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Претензионные и исковые вопросы, связанные с неполной или несвоевременной оплатой обязательных платежей и взносов, входят в круг полномочий правления товарищества (ст. 148 ЖК РФ), но никак не председателя правления (ст. 149 ЖК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xml:space="preserve">2. Председатель правления ТСЖ не является органом товарищества, а потому не располагает правом на выдачу «судебной» доверенности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Согласно ч. 1 ст. 185 ГК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xml:space="preserve">“доверенностью признается письменное уполномочие, выдаваемое одним лицом другому лицу или другим лицам для представительства перед третьими лицами”.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Согласно Толкового Словаря русского (государственного) языка</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ПОЛНОМОЧИЕ,</w:t>
      </w:r>
      <w:r w:rsidRPr="00634352">
        <w:rPr>
          <w:rFonts w:ascii="Arial" w:eastAsia="Times New Roman" w:hAnsi="Arial" w:cs="Arial"/>
          <w:color w:val="0A0B0C"/>
          <w:sz w:val="20"/>
          <w:szCs w:val="20"/>
          <w:lang w:eastAsia="ru-RU"/>
        </w:rPr>
        <w:t xml:space="preserve"> -я, </w:t>
      </w:r>
      <w:r w:rsidRPr="00634352">
        <w:rPr>
          <w:rFonts w:ascii="Arial" w:eastAsia="Times New Roman" w:hAnsi="Arial" w:cs="Arial"/>
          <w:i/>
          <w:iCs/>
          <w:color w:val="0A0B0C"/>
          <w:sz w:val="20"/>
          <w:szCs w:val="20"/>
          <w:lang w:eastAsia="ru-RU"/>
        </w:rPr>
        <w:t>ср.</w:t>
      </w:r>
      <w:r w:rsidRPr="00634352">
        <w:rPr>
          <w:rFonts w:ascii="Arial" w:eastAsia="Times New Roman" w:hAnsi="Arial" w:cs="Arial"/>
          <w:color w:val="0A0B0C"/>
          <w:sz w:val="20"/>
          <w:szCs w:val="20"/>
          <w:lang w:eastAsia="ru-RU"/>
        </w:rPr>
        <w:t xml:space="preserve"> Официально предоставленное кому-нибудь право какой-нибудь деятельности, ведения дел. </w:t>
      </w:r>
      <w:r w:rsidRPr="00634352">
        <w:rPr>
          <w:rFonts w:ascii="Arial" w:eastAsia="Times New Roman" w:hAnsi="Arial" w:cs="Arial"/>
          <w:i/>
          <w:iCs/>
          <w:color w:val="0A0B0C"/>
          <w:sz w:val="20"/>
          <w:szCs w:val="20"/>
          <w:lang w:eastAsia="ru-RU"/>
        </w:rPr>
        <w:t>Превысить свои полномочия. Сложить с себя полномочия.</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Согласно ч.2 ст. 48 ГПК РФ</w:t>
      </w:r>
    </w:p>
    <w:p w:rsidR="00634352" w:rsidRPr="00634352" w:rsidRDefault="00634352" w:rsidP="00634352">
      <w:pPr>
        <w:spacing w:beforeAutospacing="1" w:after="0"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xml:space="preserve">“дела организаций ведут в суде их </w:t>
      </w:r>
      <w:r w:rsidRPr="00634352">
        <w:rPr>
          <w:rFonts w:ascii="Arial" w:eastAsia="Times New Roman" w:hAnsi="Arial" w:cs="Arial"/>
          <w:b/>
          <w:bCs/>
          <w:color w:val="0A0B0C"/>
          <w:sz w:val="20"/>
          <w:szCs w:val="20"/>
          <w:lang w:eastAsia="ru-RU"/>
        </w:rPr>
        <w:t>органы</w:t>
      </w:r>
      <w:r w:rsidRPr="00634352">
        <w:rPr>
          <w:rFonts w:ascii="Arial" w:eastAsia="Times New Roman" w:hAnsi="Arial" w:cs="Arial"/>
          <w:color w:val="0A0B0C"/>
          <w:sz w:val="20"/>
          <w:szCs w:val="20"/>
          <w:lang w:eastAsia="ru-RU"/>
        </w:rPr>
        <w:t xml:space="preserve">, действующие в пределах полномочий, предоставленных им федеральным </w:t>
      </w:r>
      <w:hyperlink r:id="rId7" w:history="1">
        <w:r w:rsidRPr="00634352">
          <w:rPr>
            <w:rFonts w:ascii="Arial" w:eastAsia="Times New Roman" w:hAnsi="Arial" w:cs="Arial"/>
            <w:color w:val="1868B2"/>
            <w:sz w:val="20"/>
            <w:szCs w:val="20"/>
            <w:u w:val="single"/>
            <w:lang w:eastAsia="ru-RU"/>
          </w:rPr>
          <w:t>законом</w:t>
        </w:r>
      </w:hyperlink>
      <w:r w:rsidRPr="00634352">
        <w:rPr>
          <w:rFonts w:ascii="Arial" w:eastAsia="Times New Roman" w:hAnsi="Arial" w:cs="Arial"/>
          <w:color w:val="0A0B0C"/>
          <w:sz w:val="20"/>
          <w:szCs w:val="20"/>
          <w:lang w:eastAsia="ru-RU"/>
        </w:rPr>
        <w:t>, иными правовыми актами или учредительными документами, либо представители”.</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По жилищному законодательству </w:t>
      </w:r>
    </w:p>
    <w:p w:rsidR="00634352" w:rsidRPr="00634352" w:rsidRDefault="00634352" w:rsidP="00634352">
      <w:pPr>
        <w:numPr>
          <w:ilvl w:val="0"/>
          <w:numId w:val="1"/>
        </w:numPr>
        <w:spacing w:before="150" w:after="150" w:line="240" w:lineRule="auto"/>
        <w:ind w:left="600" w:right="4380"/>
        <w:rPr>
          <w:rFonts w:ascii="Arial" w:eastAsia="Times New Roman" w:hAnsi="Arial" w:cs="Arial"/>
          <w:color w:val="0A0B0C"/>
          <w:sz w:val="20"/>
          <w:szCs w:val="20"/>
          <w:lang w:eastAsia="ru-RU"/>
        </w:rPr>
      </w:pPr>
    </w:p>
    <w:p w:rsidR="00634352" w:rsidRPr="00634352" w:rsidRDefault="00634352" w:rsidP="00634352">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“руководство деятельностью товарищества собственников жилья осуществляется Правлением товарищества” (ч.1 ст. 147 ЖК РФ);</w:t>
      </w:r>
    </w:p>
    <w:p w:rsidR="00634352" w:rsidRPr="00634352" w:rsidRDefault="00634352" w:rsidP="00634352">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xml:space="preserve">“Правление товарищества собственников жилья является исполнительным </w:t>
      </w:r>
      <w:r w:rsidRPr="00634352">
        <w:rPr>
          <w:rFonts w:ascii="Arial" w:eastAsia="Times New Roman" w:hAnsi="Arial" w:cs="Arial"/>
          <w:b/>
          <w:bCs/>
          <w:color w:val="0A0B0C"/>
          <w:sz w:val="20"/>
          <w:szCs w:val="20"/>
          <w:lang w:eastAsia="ru-RU"/>
        </w:rPr>
        <w:t xml:space="preserve">органом </w:t>
      </w:r>
      <w:r w:rsidRPr="00634352">
        <w:rPr>
          <w:rFonts w:ascii="Arial" w:eastAsia="Times New Roman" w:hAnsi="Arial" w:cs="Arial"/>
          <w:color w:val="0A0B0C"/>
          <w:sz w:val="20"/>
          <w:szCs w:val="20"/>
          <w:lang w:eastAsia="ru-RU"/>
        </w:rPr>
        <w:t>товарищества, подотчетным Общему собранию членов товарищества” (ч.4 ст. 137 ЖК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3. Уставом товарищества не предусмотрено право председателя на совершение специальных процессуальных действий в суде</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В ст. 54 ГПК РФ указано, что в доверенности отдельно должно быть указано право на подписание искового заявления, право на предъявление его в суд, помимо прав на совершение всех процессуальных действий от имени представляемого. Но таких прав у председателя правления не предусмотрено в ст. 149 ЖК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Право на совершение процессуальных действий в суде является специальным, оно должно быть оговорено либо в законе, либо в учредительных документах. Между тем положения Устава о наделении председателя правления специальными полномочиями не существует</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4. Доверенность, выданная с превышением компетенции доверителя, является ничтожной</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lastRenderedPageBreak/>
        <w:t>Правила выдачи доверенностей помещены законодателем в отдельную главу 10 - после гл. 9, посвященной сделкам. Обе главы находятся в Подразделе 4 ГК РФ "Сделки. Решения собраний. Представительство". Такой подход законодателя позволяет  считать, что правовая природа оформления доверенностей не отличается от правовой природы гражданско-правовой сделки.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Односторонняя сделка в виде выдачи «судебной доверенности» неуполномоченным лицом противоречит требованиям закона, а потому в силу ч. 2 ст. 168 ГК РФ является ничтожной.</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r w:rsidRPr="00634352">
        <w:rPr>
          <w:rFonts w:ascii="Arial" w:eastAsia="Times New Roman" w:hAnsi="Arial" w:cs="Arial"/>
          <w:b/>
          <w:bCs/>
          <w:color w:val="0A0B0C"/>
          <w:sz w:val="20"/>
          <w:szCs w:val="20"/>
          <w:lang w:eastAsia="ru-RU"/>
        </w:rPr>
        <w:t>5. При ничтожности сделки возможен способ защиты права применением последствий недействительности ничтожной сделки</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Законодательство предусматривает защиту гражданских прав путем применения последствий недействительности ничтожной сделки (ст. 12 ГК РФ). Поскольку исковое заявление подписано или подано лицом, не имеющим полномочий на его подписание или предъявление иска, согласно ст. 222 ГПК РФ такое заявление оставляется без рассмотрения</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Считаем поставить перед судом вопрос о применении последствий недействительности ничтожной доверенности в виде оставления без рассмотрения поданного доверенным лицом искового заявления.  На основании изложенного, руководствуясь, статьями 148-149 ЖК РФ; статьями 12, 166-169, 185 ГК РФ; статьями 48, 131-132, 137-138 ГПК РФ</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b/>
          <w:bCs/>
          <w:color w:val="0A0B0C"/>
          <w:sz w:val="20"/>
          <w:szCs w:val="20"/>
          <w:lang w:eastAsia="ru-RU"/>
        </w:rPr>
        <w:t> ПРОШУ</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xml:space="preserve">В порядке применений последствий недействительности ничтожной сделки исковое заявление о взыскании задолженности, подписанное и представленное представителем товарищества собственников жилья "Привольное" адвокатом М.А. </w:t>
      </w:r>
      <w:proofErr w:type="spellStart"/>
      <w:r w:rsidRPr="00634352">
        <w:rPr>
          <w:rFonts w:ascii="Arial" w:eastAsia="Times New Roman" w:hAnsi="Arial" w:cs="Arial"/>
          <w:color w:val="0A0B0C"/>
          <w:sz w:val="20"/>
          <w:szCs w:val="20"/>
          <w:lang w:eastAsia="ru-RU"/>
        </w:rPr>
        <w:t>Лепешевой</w:t>
      </w:r>
      <w:proofErr w:type="spellEnd"/>
      <w:r w:rsidRPr="00634352">
        <w:rPr>
          <w:rFonts w:ascii="Arial" w:eastAsia="Times New Roman" w:hAnsi="Arial" w:cs="Arial"/>
          <w:color w:val="0A0B0C"/>
          <w:sz w:val="20"/>
          <w:szCs w:val="20"/>
          <w:lang w:eastAsia="ru-RU"/>
        </w:rPr>
        <w:t>, оставить без рассмотрения</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 </w:t>
      </w:r>
    </w:p>
    <w:p w:rsidR="00634352" w:rsidRPr="00634352" w:rsidRDefault="00634352" w:rsidP="00634352">
      <w:pPr>
        <w:spacing w:before="100" w:beforeAutospacing="1" w:after="75" w:line="240" w:lineRule="auto"/>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Приложение:</w:t>
      </w:r>
    </w:p>
    <w:p w:rsidR="00634352" w:rsidRPr="00634352" w:rsidRDefault="00634352" w:rsidP="00634352">
      <w:pPr>
        <w:numPr>
          <w:ilvl w:val="0"/>
          <w:numId w:val="2"/>
        </w:numPr>
        <w:spacing w:before="100" w:beforeAutospacing="1" w:after="75" w:line="240" w:lineRule="auto"/>
        <w:ind w:left="300" w:right="4380"/>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Квитанция об уплате государственной пошлины</w:t>
      </w:r>
    </w:p>
    <w:p w:rsidR="00634352" w:rsidRPr="00634352" w:rsidRDefault="00634352" w:rsidP="00634352">
      <w:pPr>
        <w:numPr>
          <w:ilvl w:val="0"/>
          <w:numId w:val="2"/>
        </w:numPr>
        <w:spacing w:before="100" w:beforeAutospacing="1" w:after="75" w:line="240" w:lineRule="auto"/>
        <w:ind w:left="300" w:right="4380"/>
        <w:rPr>
          <w:rFonts w:ascii="Arial" w:eastAsia="Times New Roman" w:hAnsi="Arial" w:cs="Arial"/>
          <w:color w:val="0A0B0C"/>
          <w:sz w:val="20"/>
          <w:szCs w:val="20"/>
          <w:lang w:eastAsia="ru-RU"/>
        </w:rPr>
      </w:pPr>
      <w:r w:rsidRPr="00634352">
        <w:rPr>
          <w:rFonts w:ascii="Arial" w:eastAsia="Times New Roman" w:hAnsi="Arial" w:cs="Arial"/>
          <w:color w:val="0A0B0C"/>
          <w:sz w:val="20"/>
          <w:szCs w:val="20"/>
          <w:lang w:eastAsia="ru-RU"/>
        </w:rPr>
        <w:t>Копия искового заявления</w:t>
      </w:r>
    </w:p>
    <w:p w:rsidR="001668B2" w:rsidRDefault="001668B2" w:rsidP="001668B2">
      <w:pPr>
        <w:rPr>
          <w:rFonts w:ascii="Arial" w:hAnsi="Arial" w:cs="Arial"/>
          <w:color w:val="0A0B0C"/>
          <w:sz w:val="20"/>
          <w:szCs w:val="20"/>
        </w:rPr>
      </w:pPr>
      <w:r w:rsidRPr="001668B2">
        <w:rPr>
          <w:rFonts w:ascii="Arial" w:hAnsi="Arial" w:cs="Arial"/>
          <w:color w:val="0A0B0C"/>
          <w:sz w:val="20"/>
          <w:szCs w:val="20"/>
          <w:highlight w:val="yellow"/>
        </w:rPr>
        <w:t>МАРК 3 года - не согласен</w:t>
      </w:r>
      <w:r w:rsidRPr="001668B2">
        <w:rPr>
          <w:rFonts w:ascii="Arial" w:hAnsi="Arial" w:cs="Arial"/>
          <w:color w:val="0A0B0C"/>
          <w:sz w:val="20"/>
          <w:szCs w:val="20"/>
          <w:highlight w:val="yellow"/>
        </w:rPr>
        <w:br/>
        <w:t xml:space="preserve">В соответствии с Постановлением 23 Пленума Верховного суда СССР от 04.03.1929г. в редакции 1963г. в деяниях Мирошниченко С.Е. и </w:t>
      </w:r>
      <w:proofErr w:type="spellStart"/>
      <w:r w:rsidRPr="001668B2">
        <w:rPr>
          <w:rFonts w:ascii="Arial" w:hAnsi="Arial" w:cs="Arial"/>
          <w:color w:val="0A0B0C"/>
          <w:sz w:val="20"/>
          <w:szCs w:val="20"/>
          <w:highlight w:val="yellow"/>
        </w:rPr>
        <w:t>Жураховской</w:t>
      </w:r>
      <w:proofErr w:type="spellEnd"/>
      <w:r w:rsidRPr="001668B2">
        <w:rPr>
          <w:rFonts w:ascii="Arial" w:hAnsi="Arial" w:cs="Arial"/>
          <w:color w:val="0A0B0C"/>
          <w:sz w:val="20"/>
          <w:szCs w:val="20"/>
          <w:highlight w:val="yellow"/>
        </w:rPr>
        <w:t xml:space="preserve"> Л.И. имеют признаки длящихся и продолжающихся преступлений, на которые сроки давности не распространяются. При этом в Постановлении особо отмечается, что:</w:t>
      </w:r>
      <w:r w:rsidRPr="001668B2">
        <w:rPr>
          <w:rFonts w:ascii="Arial" w:hAnsi="Arial" w:cs="Arial"/>
          <w:color w:val="0A0B0C"/>
          <w:sz w:val="20"/>
          <w:szCs w:val="20"/>
          <w:highlight w:val="yellow"/>
        </w:rPr>
        <w:br/>
        <w:t>1) срок давности уголовного преследования в отношении длящихся и продолжающихся преступлений исчисляется со времени их прекращения по воле или вопреки воле виновного;</w:t>
      </w:r>
      <w:r w:rsidRPr="001668B2">
        <w:rPr>
          <w:rFonts w:ascii="Arial" w:hAnsi="Arial" w:cs="Arial"/>
          <w:color w:val="0A0B0C"/>
          <w:sz w:val="20"/>
          <w:szCs w:val="20"/>
          <w:highlight w:val="yellow"/>
        </w:rPr>
        <w:br/>
        <w:t>2) срок давности в отношении продолжаемых деяний исчисляется с момента совершения последнего преступного действия из числа, составляющих продолжаемое преступление.</w:t>
      </w:r>
      <w:r>
        <w:rPr>
          <w:rFonts w:ascii="Arial" w:hAnsi="Arial" w:cs="Arial"/>
          <w:color w:val="0A0B0C"/>
          <w:sz w:val="20"/>
          <w:szCs w:val="20"/>
        </w:rPr>
        <w:br/>
      </w:r>
    </w:p>
    <w:p w:rsidR="007F20E5" w:rsidRDefault="007F20E5">
      <w:bookmarkStart w:id="0" w:name="_GoBack"/>
      <w:bookmarkEnd w:id="0"/>
    </w:p>
    <w:sectPr w:rsidR="007F20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2106F"/>
    <w:multiLevelType w:val="multilevel"/>
    <w:tmpl w:val="3B3E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A83061"/>
    <w:multiLevelType w:val="multilevel"/>
    <w:tmpl w:val="49603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55954A7"/>
    <w:multiLevelType w:val="multilevel"/>
    <w:tmpl w:val="A87C3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C24"/>
    <w:rsid w:val="001668B2"/>
    <w:rsid w:val="00634352"/>
    <w:rsid w:val="007F20E5"/>
    <w:rsid w:val="00BB2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7837CF-81CF-4E58-B372-69BDB5C26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6343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435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634352"/>
    <w:rPr>
      <w:color w:val="1868B2"/>
      <w:sz w:val="24"/>
      <w:szCs w:val="24"/>
      <w:u w:val="single"/>
      <w:shd w:val="clear" w:color="auto" w:fill="auto"/>
      <w:vertAlign w:val="baseline"/>
    </w:rPr>
  </w:style>
  <w:style w:type="character" w:styleId="a4">
    <w:name w:val="Strong"/>
    <w:basedOn w:val="a0"/>
    <w:uiPriority w:val="22"/>
    <w:qFormat/>
    <w:rsid w:val="00634352"/>
    <w:rPr>
      <w:b/>
      <w:bCs/>
    </w:rPr>
  </w:style>
  <w:style w:type="character" w:styleId="a5">
    <w:name w:val="Emphasis"/>
    <w:basedOn w:val="a0"/>
    <w:uiPriority w:val="20"/>
    <w:qFormat/>
    <w:rsid w:val="00634352"/>
    <w:rPr>
      <w:i/>
      <w:iCs/>
    </w:rPr>
  </w:style>
  <w:style w:type="character" w:customStyle="1" w:styleId="positive2">
    <w:name w:val="positive2"/>
    <w:basedOn w:val="a0"/>
    <w:rsid w:val="001668B2"/>
    <w:rPr>
      <w:b/>
      <w:bCs/>
      <w:color w:val="FFFFFF"/>
      <w:sz w:val="15"/>
      <w:szCs w:val="15"/>
      <w:shd w:val="clear" w:color="auto" w:fill="5FB646"/>
    </w:rPr>
  </w:style>
  <w:style w:type="character" w:customStyle="1" w:styleId="negative1">
    <w:name w:val="negative1"/>
    <w:basedOn w:val="a0"/>
    <w:rsid w:val="001668B2"/>
    <w:rPr>
      <w:b/>
      <w:bCs/>
      <w:color w:val="FFFFFF"/>
      <w:sz w:val="15"/>
      <w:szCs w:val="15"/>
      <w:shd w:val="clear" w:color="auto" w:fill="C921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873143">
      <w:bodyDiv w:val="1"/>
      <w:marLeft w:val="0"/>
      <w:marRight w:val="0"/>
      <w:marTop w:val="0"/>
      <w:marBottom w:val="0"/>
      <w:divBdr>
        <w:top w:val="none" w:sz="0" w:space="0" w:color="auto"/>
        <w:left w:val="none" w:sz="0" w:space="0" w:color="auto"/>
        <w:bottom w:val="none" w:sz="0" w:space="0" w:color="auto"/>
        <w:right w:val="none" w:sz="0" w:space="0" w:color="auto"/>
      </w:divBdr>
      <w:divsChild>
        <w:div w:id="1445731205">
          <w:marLeft w:val="0"/>
          <w:marRight w:val="0"/>
          <w:marTop w:val="0"/>
          <w:marBottom w:val="0"/>
          <w:divBdr>
            <w:top w:val="none" w:sz="0" w:space="0" w:color="auto"/>
            <w:left w:val="none" w:sz="0" w:space="0" w:color="auto"/>
            <w:bottom w:val="none" w:sz="0" w:space="0" w:color="auto"/>
            <w:right w:val="none" w:sz="0" w:space="0" w:color="auto"/>
          </w:divBdr>
          <w:divsChild>
            <w:div w:id="352801413">
              <w:marLeft w:val="0"/>
              <w:marRight w:val="0"/>
              <w:marTop w:val="0"/>
              <w:marBottom w:val="0"/>
              <w:divBdr>
                <w:top w:val="none" w:sz="0" w:space="0" w:color="auto"/>
                <w:left w:val="none" w:sz="0" w:space="0" w:color="auto"/>
                <w:bottom w:val="none" w:sz="0" w:space="0" w:color="auto"/>
                <w:right w:val="none" w:sz="0" w:space="0" w:color="auto"/>
              </w:divBdr>
              <w:divsChild>
                <w:div w:id="464928453">
                  <w:marLeft w:val="0"/>
                  <w:marRight w:val="0"/>
                  <w:marTop w:val="0"/>
                  <w:marBottom w:val="0"/>
                  <w:divBdr>
                    <w:top w:val="none" w:sz="0" w:space="0" w:color="auto"/>
                    <w:left w:val="none" w:sz="0" w:space="0" w:color="auto"/>
                    <w:bottom w:val="none" w:sz="0" w:space="0" w:color="auto"/>
                    <w:right w:val="none" w:sz="0" w:space="0" w:color="auto"/>
                  </w:divBdr>
                  <w:divsChild>
                    <w:div w:id="1859394819">
                      <w:marLeft w:val="0"/>
                      <w:marRight w:val="4155"/>
                      <w:marTop w:val="0"/>
                      <w:marBottom w:val="0"/>
                      <w:divBdr>
                        <w:top w:val="none" w:sz="0" w:space="0" w:color="auto"/>
                        <w:left w:val="none" w:sz="0" w:space="0" w:color="auto"/>
                        <w:bottom w:val="none" w:sz="0" w:space="0" w:color="auto"/>
                        <w:right w:val="none" w:sz="0" w:space="0" w:color="auto"/>
                      </w:divBdr>
                      <w:divsChild>
                        <w:div w:id="1360740022">
                          <w:marLeft w:val="0"/>
                          <w:marRight w:val="0"/>
                          <w:marTop w:val="0"/>
                          <w:marBottom w:val="0"/>
                          <w:divBdr>
                            <w:top w:val="none" w:sz="0" w:space="0" w:color="auto"/>
                            <w:left w:val="none" w:sz="0" w:space="0" w:color="auto"/>
                            <w:bottom w:val="none" w:sz="0" w:space="0" w:color="auto"/>
                            <w:right w:val="none" w:sz="0" w:space="0" w:color="auto"/>
                          </w:divBdr>
                          <w:divsChild>
                            <w:div w:id="1164667139">
                              <w:marLeft w:val="0"/>
                              <w:marRight w:val="0"/>
                              <w:marTop w:val="0"/>
                              <w:marBottom w:val="0"/>
                              <w:divBdr>
                                <w:top w:val="none" w:sz="0" w:space="0" w:color="auto"/>
                                <w:left w:val="none" w:sz="0" w:space="0" w:color="auto"/>
                                <w:bottom w:val="none" w:sz="0" w:space="0" w:color="auto"/>
                                <w:right w:val="none" w:sz="0" w:space="0" w:color="auto"/>
                              </w:divBdr>
                              <w:divsChild>
                                <w:div w:id="1763721979">
                                  <w:marLeft w:val="0"/>
                                  <w:marRight w:val="0"/>
                                  <w:marTop w:val="0"/>
                                  <w:marBottom w:val="0"/>
                                  <w:divBdr>
                                    <w:top w:val="none" w:sz="0" w:space="0" w:color="auto"/>
                                    <w:left w:val="none" w:sz="0" w:space="0" w:color="auto"/>
                                    <w:bottom w:val="none" w:sz="0" w:space="0" w:color="auto"/>
                                    <w:right w:val="none" w:sz="0" w:space="0" w:color="auto"/>
                                  </w:divBdr>
                                  <w:divsChild>
                                    <w:div w:id="1028531237">
                                      <w:marLeft w:val="0"/>
                                      <w:marRight w:val="0"/>
                                      <w:marTop w:val="0"/>
                                      <w:marBottom w:val="0"/>
                                      <w:divBdr>
                                        <w:top w:val="none" w:sz="0" w:space="0" w:color="auto"/>
                                        <w:left w:val="none" w:sz="0" w:space="0" w:color="auto"/>
                                        <w:bottom w:val="none" w:sz="0" w:space="0" w:color="auto"/>
                                        <w:right w:val="none" w:sz="0" w:space="0" w:color="auto"/>
                                      </w:divBdr>
                                      <w:divsChild>
                                        <w:div w:id="1928690621">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sChild>
                            </w:div>
                          </w:divsChild>
                        </w:div>
                      </w:divsChild>
                    </w:div>
                  </w:divsChild>
                </w:div>
              </w:divsChild>
            </w:div>
          </w:divsChild>
        </w:div>
      </w:divsChild>
    </w:div>
    <w:div w:id="1814519585">
      <w:bodyDiv w:val="1"/>
      <w:marLeft w:val="0"/>
      <w:marRight w:val="0"/>
      <w:marTop w:val="0"/>
      <w:marBottom w:val="0"/>
      <w:divBdr>
        <w:top w:val="none" w:sz="0" w:space="0" w:color="auto"/>
        <w:left w:val="none" w:sz="0" w:space="0" w:color="auto"/>
        <w:bottom w:val="none" w:sz="0" w:space="0" w:color="auto"/>
        <w:right w:val="none" w:sz="0" w:space="0" w:color="auto"/>
      </w:divBdr>
      <w:divsChild>
        <w:div w:id="1073430538">
          <w:marLeft w:val="0"/>
          <w:marRight w:val="0"/>
          <w:marTop w:val="0"/>
          <w:marBottom w:val="0"/>
          <w:divBdr>
            <w:top w:val="none" w:sz="0" w:space="0" w:color="auto"/>
            <w:left w:val="none" w:sz="0" w:space="0" w:color="auto"/>
            <w:bottom w:val="none" w:sz="0" w:space="0" w:color="auto"/>
            <w:right w:val="none" w:sz="0" w:space="0" w:color="auto"/>
          </w:divBdr>
          <w:divsChild>
            <w:div w:id="618606247">
              <w:marLeft w:val="0"/>
              <w:marRight w:val="0"/>
              <w:marTop w:val="0"/>
              <w:marBottom w:val="0"/>
              <w:divBdr>
                <w:top w:val="none" w:sz="0" w:space="0" w:color="auto"/>
                <w:left w:val="none" w:sz="0" w:space="0" w:color="auto"/>
                <w:bottom w:val="none" w:sz="0" w:space="0" w:color="auto"/>
                <w:right w:val="none" w:sz="0" w:space="0" w:color="auto"/>
              </w:divBdr>
              <w:divsChild>
                <w:div w:id="1476412708">
                  <w:marLeft w:val="0"/>
                  <w:marRight w:val="0"/>
                  <w:marTop w:val="0"/>
                  <w:marBottom w:val="0"/>
                  <w:divBdr>
                    <w:top w:val="none" w:sz="0" w:space="0" w:color="auto"/>
                    <w:left w:val="none" w:sz="0" w:space="0" w:color="auto"/>
                    <w:bottom w:val="none" w:sz="0" w:space="0" w:color="auto"/>
                    <w:right w:val="none" w:sz="0" w:space="0" w:color="auto"/>
                  </w:divBdr>
                  <w:divsChild>
                    <w:div w:id="2031447540">
                      <w:marLeft w:val="0"/>
                      <w:marRight w:val="4155"/>
                      <w:marTop w:val="0"/>
                      <w:marBottom w:val="0"/>
                      <w:divBdr>
                        <w:top w:val="none" w:sz="0" w:space="0" w:color="auto"/>
                        <w:left w:val="none" w:sz="0" w:space="0" w:color="auto"/>
                        <w:bottom w:val="none" w:sz="0" w:space="0" w:color="auto"/>
                        <w:right w:val="none" w:sz="0" w:space="0" w:color="auto"/>
                      </w:divBdr>
                      <w:divsChild>
                        <w:div w:id="1718167310">
                          <w:marLeft w:val="0"/>
                          <w:marRight w:val="0"/>
                          <w:marTop w:val="0"/>
                          <w:marBottom w:val="0"/>
                          <w:divBdr>
                            <w:top w:val="none" w:sz="0" w:space="0" w:color="auto"/>
                            <w:left w:val="none" w:sz="0" w:space="0" w:color="auto"/>
                            <w:bottom w:val="none" w:sz="0" w:space="0" w:color="auto"/>
                            <w:right w:val="none" w:sz="0" w:space="0" w:color="auto"/>
                          </w:divBdr>
                        </w:div>
                        <w:div w:id="654918150">
                          <w:marLeft w:val="0"/>
                          <w:marRight w:val="0"/>
                          <w:marTop w:val="0"/>
                          <w:marBottom w:val="0"/>
                          <w:divBdr>
                            <w:top w:val="none" w:sz="0" w:space="0" w:color="auto"/>
                            <w:left w:val="none" w:sz="0" w:space="0" w:color="auto"/>
                            <w:bottom w:val="none" w:sz="0" w:space="0" w:color="auto"/>
                            <w:right w:val="none" w:sz="0" w:space="0" w:color="auto"/>
                          </w:divBdr>
                          <w:divsChild>
                            <w:div w:id="196303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s_9CA027A50150EB36EE94B6C82945E6DE07BD47D487B765750FCE42A1372D883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1053</Words>
  <Characters>6005</Characters>
  <Application>Microsoft Office Word</Application>
  <DocSecurity>0</DocSecurity>
  <Lines>50</Lines>
  <Paragraphs>14</Paragraphs>
  <ScaleCrop>false</ScaleCrop>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2016-11-28T07:20:00Z</dcterms:created>
  <dcterms:modified xsi:type="dcterms:W3CDTF">2016-11-28T07:22:00Z</dcterms:modified>
</cp:coreProperties>
</file>